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DC61" w14:textId="0E3F5E72" w:rsidR="00EB770C" w:rsidRDefault="00E37FFC" w:rsidP="00C02A02">
      <w:r>
        <w:rPr>
          <w:noProof/>
        </w:rPr>
        <mc:AlternateContent>
          <mc:Choice Requires="wps">
            <w:drawing>
              <wp:anchor distT="0" distB="0" distL="114300" distR="114300" simplePos="0" relativeHeight="251659264" behindDoc="0" locked="0" layoutInCell="1" allowOverlap="1" wp14:anchorId="536D3C0B" wp14:editId="2AF4D941">
                <wp:simplePos x="0" y="0"/>
                <wp:positionH relativeFrom="column">
                  <wp:posOffset>-393700</wp:posOffset>
                </wp:positionH>
                <wp:positionV relativeFrom="paragraph">
                  <wp:posOffset>-8648700</wp:posOffset>
                </wp:positionV>
                <wp:extent cx="6480175" cy="7366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36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D64AB4" w14:textId="77777777" w:rsidR="00E37FFC" w:rsidRDefault="00E37FFC" w:rsidP="00E37FFC">
                            <w:pPr>
                              <w:jc w:val="center"/>
                            </w:pPr>
                            <w:r>
                              <w:t>SCALE OF LANDLORD FEES</w:t>
                            </w:r>
                          </w:p>
                          <w:tbl>
                            <w:tblPr>
                              <w:tblStyle w:val="TableGrid"/>
                              <w:tblW w:w="0" w:type="auto"/>
                              <w:jc w:val="center"/>
                              <w:tblLook w:val="04A0" w:firstRow="1" w:lastRow="0" w:firstColumn="1" w:lastColumn="0" w:noHBand="0" w:noVBand="1"/>
                            </w:tblPr>
                            <w:tblGrid>
                              <w:gridCol w:w="704"/>
                              <w:gridCol w:w="3544"/>
                              <w:gridCol w:w="4768"/>
                            </w:tblGrid>
                            <w:tr w:rsidR="00E37FFC" w14:paraId="02A82AA4" w14:textId="77777777" w:rsidTr="00E37FFC">
                              <w:trPr>
                                <w:jc w:val="center"/>
                              </w:trPr>
                              <w:tc>
                                <w:tcPr>
                                  <w:tcW w:w="704" w:type="dxa"/>
                                </w:tcPr>
                                <w:p w14:paraId="12FC9C6E" w14:textId="77777777" w:rsidR="00E37FFC" w:rsidRDefault="00E37FFC" w:rsidP="00E37FFC">
                                  <w:pPr>
                                    <w:jc w:val="center"/>
                                  </w:pPr>
                                  <w:r>
                                    <w:t>1.1</w:t>
                                  </w:r>
                                </w:p>
                              </w:tc>
                              <w:tc>
                                <w:tcPr>
                                  <w:tcW w:w="3544" w:type="dxa"/>
                                </w:tcPr>
                                <w:p w14:paraId="0009F4EB" w14:textId="77777777" w:rsidR="00E37FFC" w:rsidRDefault="00E37FFC" w:rsidP="00E37FFC">
                                  <w:r>
                                    <w:t>Marketing &amp; Let Only Service</w:t>
                                  </w:r>
                                </w:p>
                              </w:tc>
                              <w:tc>
                                <w:tcPr>
                                  <w:tcW w:w="4768" w:type="dxa"/>
                                </w:tcPr>
                                <w:p w14:paraId="19057D64" w14:textId="77777777" w:rsidR="00E37FFC" w:rsidRDefault="00E37FFC" w:rsidP="00E37FFC">
                                  <w:r>
                                    <w:t>1 Month’s Rent (Inc. VAT)</w:t>
                                  </w:r>
                                </w:p>
                              </w:tc>
                            </w:tr>
                            <w:tr w:rsidR="00E37FFC" w14:paraId="6459DFF4" w14:textId="77777777" w:rsidTr="00E37FFC">
                              <w:trPr>
                                <w:jc w:val="center"/>
                              </w:trPr>
                              <w:tc>
                                <w:tcPr>
                                  <w:tcW w:w="704" w:type="dxa"/>
                                </w:tcPr>
                                <w:p w14:paraId="08789763" w14:textId="77777777" w:rsidR="00E37FFC" w:rsidRDefault="00E37FFC" w:rsidP="00E37FFC">
                                  <w:pPr>
                                    <w:jc w:val="center"/>
                                  </w:pPr>
                                  <w:r>
                                    <w:t>1.2</w:t>
                                  </w:r>
                                </w:p>
                              </w:tc>
                              <w:tc>
                                <w:tcPr>
                                  <w:tcW w:w="3544" w:type="dxa"/>
                                </w:tcPr>
                                <w:p w14:paraId="15546F08" w14:textId="77777777" w:rsidR="00E37FFC" w:rsidRDefault="00E37FFC" w:rsidP="00E37FFC">
                                  <w:r>
                                    <w:t>Rent Collection Service</w:t>
                                  </w:r>
                                </w:p>
                              </w:tc>
                              <w:tc>
                                <w:tcPr>
                                  <w:tcW w:w="4768" w:type="dxa"/>
                                </w:tcPr>
                                <w:p w14:paraId="63343172" w14:textId="799B2D39" w:rsidR="00E37FFC" w:rsidRDefault="00E37FFC" w:rsidP="00E37FFC">
                                  <w:r>
                                    <w:t>2 Week’s Rent (Inc. VAT) +</w:t>
                                  </w:r>
                                  <w:r w:rsidR="00AD6769">
                                    <w:t>9</w:t>
                                  </w:r>
                                  <w:r>
                                    <w:t>% (</w:t>
                                  </w:r>
                                  <w:r w:rsidR="00AD6769">
                                    <w:t>Inc.</w:t>
                                  </w:r>
                                  <w:r>
                                    <w:t xml:space="preserve"> VAT)</w:t>
                                  </w:r>
                                </w:p>
                              </w:tc>
                            </w:tr>
                            <w:tr w:rsidR="00E37FFC" w14:paraId="7DAFDDFC" w14:textId="77777777" w:rsidTr="00E37FFC">
                              <w:trPr>
                                <w:jc w:val="center"/>
                              </w:trPr>
                              <w:tc>
                                <w:tcPr>
                                  <w:tcW w:w="704" w:type="dxa"/>
                                </w:tcPr>
                                <w:p w14:paraId="66F18D9F" w14:textId="77777777" w:rsidR="00E37FFC" w:rsidRDefault="00E37FFC" w:rsidP="00E37FFC">
                                  <w:pPr>
                                    <w:jc w:val="center"/>
                                  </w:pPr>
                                  <w:r>
                                    <w:t>1.3</w:t>
                                  </w:r>
                                </w:p>
                              </w:tc>
                              <w:tc>
                                <w:tcPr>
                                  <w:tcW w:w="3544" w:type="dxa"/>
                                </w:tcPr>
                                <w:p w14:paraId="5BD301E0" w14:textId="77777777" w:rsidR="00E37FFC" w:rsidRDefault="00E37FFC" w:rsidP="00E37FFC">
                                  <w:r>
                                    <w:t>Full Management Service</w:t>
                                  </w:r>
                                </w:p>
                              </w:tc>
                              <w:tc>
                                <w:tcPr>
                                  <w:tcW w:w="4768" w:type="dxa"/>
                                </w:tcPr>
                                <w:p w14:paraId="48FBC48B" w14:textId="4360451F" w:rsidR="00E37FFC" w:rsidRDefault="00E37FFC" w:rsidP="00E37FFC">
                                  <w:r>
                                    <w:t>2 Week’s Rent (Inc. VAT) +1</w:t>
                                  </w:r>
                                  <w:r w:rsidR="00AD6769">
                                    <w:t>2</w:t>
                                  </w:r>
                                  <w:r>
                                    <w:t>% (</w:t>
                                  </w:r>
                                  <w:r w:rsidR="00AD6769">
                                    <w:t>Inc.</w:t>
                                  </w:r>
                                  <w:r>
                                    <w:t xml:space="preserve"> VAT)</w:t>
                                  </w:r>
                                </w:p>
                              </w:tc>
                            </w:tr>
                          </w:tbl>
                          <w:p w14:paraId="5EE4166A" w14:textId="77777777" w:rsidR="00E37FFC" w:rsidRDefault="00E37FFC" w:rsidP="00E37FFC">
                            <w:pPr>
                              <w:jc w:val="center"/>
                            </w:pPr>
                          </w:p>
                          <w:p w14:paraId="6F3CC2BC" w14:textId="77777777" w:rsidR="00E37FFC" w:rsidRDefault="00E37FFC" w:rsidP="00E37FFC"/>
                          <w:p w14:paraId="0907AB86" w14:textId="77777777" w:rsidR="00E37FFC" w:rsidRDefault="00E37FFC" w:rsidP="00E37FFC">
                            <w:pPr>
                              <w:jc w:val="center"/>
                            </w:pPr>
                            <w:r>
                              <w:t>MANDATORY REQUIREMENTS AND ASSOCIATED COSTS</w:t>
                            </w:r>
                          </w:p>
                          <w:tbl>
                            <w:tblPr>
                              <w:tblStyle w:val="TableGrid"/>
                              <w:tblW w:w="9052" w:type="dxa"/>
                              <w:jc w:val="center"/>
                              <w:tblLook w:val="04A0" w:firstRow="1" w:lastRow="0" w:firstColumn="1" w:lastColumn="0" w:noHBand="0" w:noVBand="1"/>
                            </w:tblPr>
                            <w:tblGrid>
                              <w:gridCol w:w="4526"/>
                              <w:gridCol w:w="4526"/>
                            </w:tblGrid>
                            <w:tr w:rsidR="00E37FFC" w14:paraId="726D4D77" w14:textId="77777777" w:rsidTr="00E37FFC">
                              <w:trPr>
                                <w:trHeight w:val="257"/>
                                <w:jc w:val="center"/>
                              </w:trPr>
                              <w:tc>
                                <w:tcPr>
                                  <w:tcW w:w="4526" w:type="dxa"/>
                                </w:tcPr>
                                <w:p w14:paraId="064BE5A9" w14:textId="77777777" w:rsidR="00E37FFC" w:rsidRDefault="00E37FFC" w:rsidP="00E37FFC">
                                  <w:r>
                                    <w:t>EPC</w:t>
                                  </w:r>
                                </w:p>
                              </w:tc>
                              <w:tc>
                                <w:tcPr>
                                  <w:tcW w:w="4526" w:type="dxa"/>
                                </w:tcPr>
                                <w:p w14:paraId="28B63DCB" w14:textId="77777777" w:rsidR="00E37FFC" w:rsidRDefault="00E37FFC" w:rsidP="00E37FFC">
                                  <w:r>
                                    <w:t>£60.00</w:t>
                                  </w:r>
                                </w:p>
                              </w:tc>
                            </w:tr>
                            <w:tr w:rsidR="00E37FFC" w14:paraId="0C951AE9" w14:textId="77777777" w:rsidTr="00E37FFC">
                              <w:trPr>
                                <w:trHeight w:val="257"/>
                                <w:jc w:val="center"/>
                              </w:trPr>
                              <w:tc>
                                <w:tcPr>
                                  <w:tcW w:w="4526" w:type="dxa"/>
                                </w:tcPr>
                                <w:p w14:paraId="6641BB53" w14:textId="77777777" w:rsidR="00E37FFC" w:rsidRDefault="00E37FFC" w:rsidP="00E37FFC">
                                  <w:r>
                                    <w:t>Gas Safety Certificate</w:t>
                                  </w:r>
                                </w:p>
                              </w:tc>
                              <w:tc>
                                <w:tcPr>
                                  <w:tcW w:w="4526" w:type="dxa"/>
                                </w:tcPr>
                                <w:p w14:paraId="02BC4AFA" w14:textId="77777777" w:rsidR="00E37FFC" w:rsidRDefault="00E37FFC" w:rsidP="00E37FFC">
                                  <w:r>
                                    <w:t>£60.00</w:t>
                                  </w:r>
                                </w:p>
                              </w:tc>
                            </w:tr>
                            <w:tr w:rsidR="00E37FFC" w14:paraId="3FE90CE9" w14:textId="77777777" w:rsidTr="00E37FFC">
                              <w:trPr>
                                <w:trHeight w:val="257"/>
                                <w:jc w:val="center"/>
                              </w:trPr>
                              <w:tc>
                                <w:tcPr>
                                  <w:tcW w:w="4526" w:type="dxa"/>
                                </w:tcPr>
                                <w:p w14:paraId="4F361810" w14:textId="77777777" w:rsidR="00E37FFC" w:rsidRDefault="00E37FFC" w:rsidP="00E37FFC">
                                  <w:r>
                                    <w:t xml:space="preserve">Local Authority Selective Licence </w:t>
                                  </w:r>
                                </w:p>
                              </w:tc>
                              <w:tc>
                                <w:tcPr>
                                  <w:tcW w:w="4526" w:type="dxa"/>
                                </w:tcPr>
                                <w:p w14:paraId="69461037" w14:textId="77777777" w:rsidR="00E37FFC" w:rsidRDefault="00E37FFC" w:rsidP="00E37FFC">
                                  <w:r>
                                    <w:t>Cost specific to local authority</w:t>
                                  </w:r>
                                </w:p>
                              </w:tc>
                            </w:tr>
                            <w:tr w:rsidR="00E37FFC" w14:paraId="557AE712" w14:textId="77777777" w:rsidTr="00E37FFC">
                              <w:trPr>
                                <w:trHeight w:val="248"/>
                                <w:jc w:val="center"/>
                              </w:trPr>
                              <w:tc>
                                <w:tcPr>
                                  <w:tcW w:w="4526" w:type="dxa"/>
                                </w:tcPr>
                                <w:p w14:paraId="6AA114F1" w14:textId="77777777" w:rsidR="00E37FFC" w:rsidRDefault="00E37FFC" w:rsidP="00E37FFC">
                                  <w:r>
                                    <w:t>EICR Report</w:t>
                                  </w:r>
                                </w:p>
                              </w:tc>
                              <w:tc>
                                <w:tcPr>
                                  <w:tcW w:w="4526" w:type="dxa"/>
                                </w:tcPr>
                                <w:p w14:paraId="40AD5AA3" w14:textId="77777777" w:rsidR="00E37FFC" w:rsidRDefault="00E37FFC" w:rsidP="00E37FFC">
                                  <w:r>
                                    <w:t>£150.00</w:t>
                                  </w:r>
                                </w:p>
                              </w:tc>
                            </w:tr>
                            <w:tr w:rsidR="00E37FFC" w14:paraId="6B25D835" w14:textId="77777777" w:rsidTr="00E37FFC">
                              <w:trPr>
                                <w:trHeight w:val="248"/>
                                <w:jc w:val="center"/>
                              </w:trPr>
                              <w:tc>
                                <w:tcPr>
                                  <w:tcW w:w="4526" w:type="dxa"/>
                                </w:tcPr>
                                <w:p w14:paraId="66FF7ECB" w14:textId="77777777" w:rsidR="00E37FFC" w:rsidRDefault="00E37FFC" w:rsidP="00E37FFC">
                                  <w:r>
                                    <w:t>Smoke Detectors</w:t>
                                  </w:r>
                                </w:p>
                              </w:tc>
                              <w:tc>
                                <w:tcPr>
                                  <w:tcW w:w="4526" w:type="dxa"/>
                                </w:tcPr>
                                <w:p w14:paraId="72B0291B" w14:textId="3138BEA4" w:rsidR="00E37FFC" w:rsidRDefault="00E37FFC" w:rsidP="00E37FFC">
                                  <w:r>
                                    <w:t>One per floor - £</w:t>
                                  </w:r>
                                  <w:r w:rsidR="00AD6769">
                                    <w:t>72</w:t>
                                  </w:r>
                                  <w:r>
                                    <w:t xml:space="preserve">.00 </w:t>
                                  </w:r>
                                  <w:r w:rsidR="00AD6769">
                                    <w:t xml:space="preserve">Inc. </w:t>
                                  </w:r>
                                  <w:r>
                                    <w:t>VAT</w:t>
                                  </w:r>
                                </w:p>
                              </w:tc>
                            </w:tr>
                            <w:tr w:rsidR="00E37FFC" w14:paraId="1805756B" w14:textId="77777777" w:rsidTr="00E37FFC">
                              <w:trPr>
                                <w:trHeight w:val="248"/>
                                <w:jc w:val="center"/>
                              </w:trPr>
                              <w:tc>
                                <w:tcPr>
                                  <w:tcW w:w="4526" w:type="dxa"/>
                                </w:tcPr>
                                <w:p w14:paraId="25E45C92" w14:textId="77777777" w:rsidR="00E37FFC" w:rsidRDefault="00E37FFC" w:rsidP="00E37FFC">
                                  <w:r>
                                    <w:t>Carbon Monoxide Detectors</w:t>
                                  </w:r>
                                </w:p>
                              </w:tc>
                              <w:tc>
                                <w:tcPr>
                                  <w:tcW w:w="4526" w:type="dxa"/>
                                </w:tcPr>
                                <w:p w14:paraId="44C0157F" w14:textId="25C82991" w:rsidR="00E37FFC" w:rsidRDefault="00E37FFC" w:rsidP="00E37FFC">
                                  <w:r>
                                    <w:t>£</w:t>
                                  </w:r>
                                  <w:r w:rsidR="00AD6769">
                                    <w:t>5</w:t>
                                  </w:r>
                                  <w:r>
                                    <w:t xml:space="preserve">0.00 </w:t>
                                  </w:r>
                                  <w:r w:rsidR="00AD6769">
                                    <w:t xml:space="preserve">Inc. </w:t>
                                  </w:r>
                                  <w:r>
                                    <w:t>VAT</w:t>
                                  </w:r>
                                </w:p>
                              </w:tc>
                            </w:tr>
                            <w:tr w:rsidR="00E37FFC" w14:paraId="73B565C8" w14:textId="77777777" w:rsidTr="00E37FFC">
                              <w:trPr>
                                <w:trHeight w:val="248"/>
                                <w:jc w:val="center"/>
                              </w:trPr>
                              <w:tc>
                                <w:tcPr>
                                  <w:tcW w:w="4526" w:type="dxa"/>
                                </w:tcPr>
                                <w:p w14:paraId="247639E7" w14:textId="77777777" w:rsidR="00E37FFC" w:rsidRDefault="00E37FFC" w:rsidP="00E37FFC">
                                  <w:r>
                                    <w:t>Tenant/Guarantor Reference Charge</w:t>
                                  </w:r>
                                </w:p>
                              </w:tc>
                              <w:tc>
                                <w:tcPr>
                                  <w:tcW w:w="4526" w:type="dxa"/>
                                </w:tcPr>
                                <w:p w14:paraId="669816F3" w14:textId="256B8C49" w:rsidR="00E37FFC" w:rsidRDefault="00E37FFC" w:rsidP="00E37FFC">
                                  <w:r>
                                    <w:t>£</w:t>
                                  </w:r>
                                  <w:r w:rsidR="00AD6769">
                                    <w:t>20</w:t>
                                  </w:r>
                                  <w:r>
                                    <w:t xml:space="preserve">.00 </w:t>
                                  </w:r>
                                  <w:r w:rsidR="00AD6769">
                                    <w:t xml:space="preserve">Inc. </w:t>
                                  </w:r>
                                  <w:r>
                                    <w:t>VAT Per Reference</w:t>
                                  </w:r>
                                </w:p>
                              </w:tc>
                            </w:tr>
                          </w:tbl>
                          <w:p w14:paraId="110E8D04" w14:textId="77777777" w:rsidR="00E37FFC" w:rsidRDefault="00E37FFC" w:rsidP="00E37FFC"/>
                          <w:p w14:paraId="76448088" w14:textId="77777777" w:rsidR="00E37FFC" w:rsidRDefault="00E37FFC" w:rsidP="00E37FFC">
                            <w:pPr>
                              <w:rPr>
                                <w:sz w:val="18"/>
                                <w:szCs w:val="18"/>
                              </w:rPr>
                            </w:pPr>
                            <w:r w:rsidRPr="00F922EE">
                              <w:rPr>
                                <w:sz w:val="18"/>
                                <w:szCs w:val="18"/>
                              </w:rPr>
                              <w:t>The fees under the above services are payable when any individual or organisation enters into an agreement to rent the Property as a result of our promotion, introduction, or viewing by the Agent.</w:t>
                            </w:r>
                          </w:p>
                          <w:p w14:paraId="3D03D672" w14:textId="77777777" w:rsidR="00E37FFC" w:rsidRDefault="00E37FFC" w:rsidP="00E37FFC">
                            <w:pPr>
                              <w:rPr>
                                <w:sz w:val="18"/>
                                <w:szCs w:val="18"/>
                              </w:rPr>
                            </w:pPr>
                          </w:p>
                          <w:p w14:paraId="5746A2C3" w14:textId="77777777" w:rsidR="00E37FFC" w:rsidRDefault="00E37FFC" w:rsidP="00E37FFC">
                            <w:pPr>
                              <w:jc w:val="center"/>
                            </w:pPr>
                            <w:r>
                              <w:t>ADDITIONAL CHARGES (AS AND WHEN THEY ARISE)</w:t>
                            </w:r>
                          </w:p>
                          <w:tbl>
                            <w:tblPr>
                              <w:tblStyle w:val="TableGrid"/>
                              <w:tblW w:w="0" w:type="auto"/>
                              <w:jc w:val="center"/>
                              <w:tblLook w:val="04A0" w:firstRow="1" w:lastRow="0" w:firstColumn="1" w:lastColumn="0" w:noHBand="0" w:noVBand="1"/>
                            </w:tblPr>
                            <w:tblGrid>
                              <w:gridCol w:w="4508"/>
                              <w:gridCol w:w="4508"/>
                            </w:tblGrid>
                            <w:tr w:rsidR="00E37FFC" w14:paraId="4CC0897B" w14:textId="77777777" w:rsidTr="00E37FFC">
                              <w:trPr>
                                <w:jc w:val="center"/>
                              </w:trPr>
                              <w:tc>
                                <w:tcPr>
                                  <w:tcW w:w="4508" w:type="dxa"/>
                                </w:tcPr>
                                <w:p w14:paraId="4BDEFA64" w14:textId="77777777" w:rsidR="00E37FFC" w:rsidRDefault="00E37FFC" w:rsidP="00E37FFC">
                                  <w:r>
                                    <w:t>Tenancy Renewal Fee (To apply to ALL new tenancies. Also applies to renewed tenancies on services 1.1 and 1.2)</w:t>
                                  </w:r>
                                </w:p>
                              </w:tc>
                              <w:tc>
                                <w:tcPr>
                                  <w:tcW w:w="4508" w:type="dxa"/>
                                </w:tcPr>
                                <w:p w14:paraId="4438A937" w14:textId="77777777" w:rsidR="00E37FFC" w:rsidRDefault="00E37FFC" w:rsidP="00E37FFC">
                                  <w:r>
                                    <w:t>£75.00 (Inc. VAT)</w:t>
                                  </w:r>
                                </w:p>
                              </w:tc>
                            </w:tr>
                            <w:tr w:rsidR="00E37FFC" w14:paraId="1DEAADF9" w14:textId="77777777" w:rsidTr="00E37FFC">
                              <w:trPr>
                                <w:jc w:val="center"/>
                              </w:trPr>
                              <w:tc>
                                <w:tcPr>
                                  <w:tcW w:w="4508" w:type="dxa"/>
                                </w:tcPr>
                                <w:p w14:paraId="1167201C" w14:textId="77777777" w:rsidR="00E37FFC" w:rsidRDefault="00E37FFC" w:rsidP="00E37FFC">
                                  <w:r>
                                    <w:t>Deposit Registration</w:t>
                                  </w:r>
                                </w:p>
                              </w:tc>
                              <w:tc>
                                <w:tcPr>
                                  <w:tcW w:w="4508" w:type="dxa"/>
                                </w:tcPr>
                                <w:p w14:paraId="3C477F47" w14:textId="77777777" w:rsidR="00E37FFC" w:rsidRDefault="00E37FFC" w:rsidP="00E37FFC">
                                  <w:r>
                                    <w:t>£0.00</w:t>
                                  </w:r>
                                </w:p>
                              </w:tc>
                            </w:tr>
                            <w:tr w:rsidR="00E37FFC" w14:paraId="01D6B2DC" w14:textId="77777777" w:rsidTr="00E37FFC">
                              <w:trPr>
                                <w:jc w:val="center"/>
                              </w:trPr>
                              <w:tc>
                                <w:tcPr>
                                  <w:tcW w:w="4508" w:type="dxa"/>
                                </w:tcPr>
                                <w:p w14:paraId="4F20E181" w14:textId="77777777" w:rsidR="00E37FFC" w:rsidRDefault="00E37FFC" w:rsidP="00E37FFC">
                                  <w:r>
                                    <w:t>Inventory Check in/out service</w:t>
                                  </w:r>
                                </w:p>
                              </w:tc>
                              <w:tc>
                                <w:tcPr>
                                  <w:tcW w:w="4508" w:type="dxa"/>
                                </w:tcPr>
                                <w:p w14:paraId="3B77E69C" w14:textId="77777777" w:rsidR="00E37FFC" w:rsidRDefault="00E37FFC" w:rsidP="00E37FFC">
                                  <w:r>
                                    <w:t>Upon quote</w:t>
                                  </w:r>
                                </w:p>
                              </w:tc>
                            </w:tr>
                            <w:tr w:rsidR="00E37FFC" w14:paraId="5AD80A90" w14:textId="77777777" w:rsidTr="00E37FFC">
                              <w:trPr>
                                <w:jc w:val="center"/>
                              </w:trPr>
                              <w:tc>
                                <w:tcPr>
                                  <w:tcW w:w="4508" w:type="dxa"/>
                                </w:tcPr>
                                <w:p w14:paraId="249860A4" w14:textId="77777777" w:rsidR="00E37FFC" w:rsidRDefault="00E37FFC" w:rsidP="00E37FFC">
                                  <w:r>
                                    <w:t>Professional Hourly Rate</w:t>
                                  </w:r>
                                </w:p>
                              </w:tc>
                              <w:tc>
                                <w:tcPr>
                                  <w:tcW w:w="4508" w:type="dxa"/>
                                </w:tcPr>
                                <w:p w14:paraId="04C02855" w14:textId="77777777" w:rsidR="00E37FFC" w:rsidRDefault="00E37FFC" w:rsidP="00E37FFC">
                                  <w:r>
                                    <w:t>£65.00 (Inc. VAT)</w:t>
                                  </w:r>
                                </w:p>
                              </w:tc>
                            </w:tr>
                            <w:tr w:rsidR="00E37FFC" w14:paraId="6EDD4EA6" w14:textId="77777777" w:rsidTr="00E37FFC">
                              <w:trPr>
                                <w:jc w:val="center"/>
                              </w:trPr>
                              <w:tc>
                                <w:tcPr>
                                  <w:tcW w:w="4508" w:type="dxa"/>
                                </w:tcPr>
                                <w:p w14:paraId="2D1A0D4E" w14:textId="77777777" w:rsidR="00E37FFC" w:rsidRDefault="00E37FFC" w:rsidP="00E37FFC">
                                  <w:r>
                                    <w:t>Duplicate Statement</w:t>
                                  </w:r>
                                </w:p>
                              </w:tc>
                              <w:tc>
                                <w:tcPr>
                                  <w:tcW w:w="4508" w:type="dxa"/>
                                </w:tcPr>
                                <w:p w14:paraId="5B7D3EC1" w14:textId="77777777" w:rsidR="00E37FFC" w:rsidRDefault="00E37FFC" w:rsidP="00E37FFC">
                                  <w:r>
                                    <w:t>£0.00</w:t>
                                  </w:r>
                                </w:p>
                              </w:tc>
                            </w:tr>
                            <w:tr w:rsidR="00E37FFC" w14:paraId="64B35E68" w14:textId="77777777" w:rsidTr="00E37FFC">
                              <w:trPr>
                                <w:jc w:val="center"/>
                              </w:trPr>
                              <w:tc>
                                <w:tcPr>
                                  <w:tcW w:w="4508" w:type="dxa"/>
                                </w:tcPr>
                                <w:p w14:paraId="3B1F1CA8" w14:textId="77777777" w:rsidR="00E37FFC" w:rsidRDefault="00E37FFC" w:rsidP="00E37FFC">
                                  <w:r>
                                    <w:t>Legionella Risk Assessment</w:t>
                                  </w:r>
                                </w:p>
                              </w:tc>
                              <w:tc>
                                <w:tcPr>
                                  <w:tcW w:w="4508" w:type="dxa"/>
                                </w:tcPr>
                                <w:p w14:paraId="339B37AB" w14:textId="77777777" w:rsidR="00E37FFC" w:rsidRDefault="00E37FFC" w:rsidP="00E37FFC">
                                  <w:r>
                                    <w:t>Upon quote</w:t>
                                  </w:r>
                                </w:p>
                              </w:tc>
                            </w:tr>
                            <w:tr w:rsidR="00E37FFC" w14:paraId="0F166760" w14:textId="77777777" w:rsidTr="00E37FFC">
                              <w:trPr>
                                <w:jc w:val="center"/>
                              </w:trPr>
                              <w:tc>
                                <w:tcPr>
                                  <w:tcW w:w="4508" w:type="dxa"/>
                                </w:tcPr>
                                <w:p w14:paraId="503999F7" w14:textId="77777777" w:rsidR="00E37FFC" w:rsidRDefault="00E37FFC" w:rsidP="00E37FFC">
                                  <w:r>
                                    <w:t>Legal Notices</w:t>
                                  </w:r>
                                </w:p>
                              </w:tc>
                              <w:tc>
                                <w:tcPr>
                                  <w:tcW w:w="4508" w:type="dxa"/>
                                </w:tcPr>
                                <w:p w14:paraId="4CD47EEF" w14:textId="77777777" w:rsidR="00E37FFC" w:rsidRDefault="00E37FFC" w:rsidP="00E37FFC">
                                  <w:r>
                                    <w:t>Free with Management</w:t>
                                  </w:r>
                                </w:p>
                              </w:tc>
                            </w:tr>
                            <w:tr w:rsidR="00E37FFC" w14:paraId="64C965C7" w14:textId="77777777" w:rsidTr="00E37FFC">
                              <w:trPr>
                                <w:jc w:val="center"/>
                              </w:trPr>
                              <w:tc>
                                <w:tcPr>
                                  <w:tcW w:w="4508" w:type="dxa"/>
                                </w:tcPr>
                                <w:p w14:paraId="69888B77" w14:textId="77777777" w:rsidR="00E37FFC" w:rsidRDefault="00E37FFC" w:rsidP="00E37FFC">
                                  <w:r>
                                    <w:t>Rent Guarantee Insurance</w:t>
                                  </w:r>
                                </w:p>
                              </w:tc>
                              <w:tc>
                                <w:tcPr>
                                  <w:tcW w:w="4508" w:type="dxa"/>
                                </w:tcPr>
                                <w:p w14:paraId="365B39E9" w14:textId="2C1FA4BA" w:rsidR="00E37FFC" w:rsidRDefault="00E37FFC" w:rsidP="00E37FFC">
                                  <w:r>
                                    <w:t>From £</w:t>
                                  </w:r>
                                  <w:r w:rsidR="002B438A">
                                    <w:t>20</w:t>
                                  </w:r>
                                  <w:r>
                                    <w:t xml:space="preserve">0.00 (Inc. </w:t>
                                  </w:r>
                                  <w:r w:rsidR="002B438A">
                                    <w:t>IPT</w:t>
                                  </w:r>
                                  <w:r>
                                    <w:t>)</w:t>
                                  </w:r>
                                </w:p>
                              </w:tc>
                            </w:tr>
                            <w:tr w:rsidR="00E37FFC" w14:paraId="42D315B2" w14:textId="77777777" w:rsidTr="00E37FFC">
                              <w:trPr>
                                <w:jc w:val="center"/>
                              </w:trPr>
                              <w:tc>
                                <w:tcPr>
                                  <w:tcW w:w="4508" w:type="dxa"/>
                                </w:tcPr>
                                <w:p w14:paraId="1D525DBC" w14:textId="77777777" w:rsidR="00E37FFC" w:rsidRDefault="00E37FFC" w:rsidP="00E37FFC">
                                  <w:r>
                                    <w:t>Sale Of Property To Tenant</w:t>
                                  </w:r>
                                </w:p>
                              </w:tc>
                              <w:tc>
                                <w:tcPr>
                                  <w:tcW w:w="4508" w:type="dxa"/>
                                </w:tcPr>
                                <w:p w14:paraId="7BE2B1FC" w14:textId="77777777" w:rsidR="00E37FFC" w:rsidRDefault="00E37FFC" w:rsidP="00E37FFC">
                                  <w:r>
                                    <w:t>1% (Inc. VAT)</w:t>
                                  </w:r>
                                </w:p>
                              </w:tc>
                            </w:tr>
                          </w:tbl>
                          <w:p w14:paraId="36F41EF6" w14:textId="77777777" w:rsidR="00E37FFC" w:rsidRDefault="00E37FFC" w:rsidP="00E37FFC"/>
                          <w:p w14:paraId="4E54A047" w14:textId="77777777" w:rsidR="00E37FFC" w:rsidRDefault="00E37FFC" w:rsidP="00E37FFC">
                            <w:pPr>
                              <w:rPr>
                                <w:sz w:val="18"/>
                                <w:szCs w:val="18"/>
                              </w:rPr>
                            </w:pPr>
                            <w:r w:rsidRPr="006E028D">
                              <w:rPr>
                                <w:sz w:val="18"/>
                                <w:szCs w:val="18"/>
                              </w:rPr>
                              <w:t>We may receive commissions from: Contractors, Insurance Companies, Referencing Companies, Utility Providers.</w:t>
                            </w:r>
                          </w:p>
                          <w:p w14:paraId="1F95A6A0" w14:textId="77777777" w:rsidR="00E37FFC" w:rsidRDefault="00E37FFC" w:rsidP="00E37FFC">
                            <w:pPr>
                              <w:rPr>
                                <w:sz w:val="18"/>
                                <w:szCs w:val="18"/>
                              </w:rPr>
                            </w:pPr>
                          </w:p>
                          <w:p w14:paraId="4B261201" w14:textId="77777777" w:rsidR="00E37FFC" w:rsidRDefault="00E37FFC" w:rsidP="00E37FFC">
                            <w:r>
                              <w:t>CONTRACT CANCELLATION FEE (During a tenancy)</w:t>
                            </w:r>
                          </w:p>
                          <w:p w14:paraId="0E8D8DF4" w14:textId="77777777" w:rsidR="00E37FFC" w:rsidRPr="006E028D" w:rsidRDefault="00E37FFC" w:rsidP="00E37FFC">
                            <w:pPr>
                              <w:rPr>
                                <w:sz w:val="18"/>
                                <w:szCs w:val="18"/>
                              </w:rPr>
                            </w:pPr>
                            <w:r>
                              <w:rPr>
                                <w:sz w:val="18"/>
                                <w:szCs w:val="18"/>
                              </w:rPr>
                              <w:t>Where the Landlord cancels the Agent’s instruction to provide a Let and Rent Collection or Full Management service, the Agent will charge and the Landlord will pay the minimum fee that would be payable for the Let Only Service plus any other costs incurred, including a reasonable fee for the time management that has been provided.</w:t>
                            </w:r>
                          </w:p>
                          <w:p w14:paraId="42A49D46" w14:textId="77777777" w:rsidR="00C02A02" w:rsidRPr="00446310" w:rsidRDefault="00C02A02" w:rsidP="00C02A02">
                            <w:pPr>
                              <w:ind w:left="-142"/>
                              <w:rPr>
                                <w:rFonts w:ascii="Heebo Light" w:hAnsi="Heebo Light"/>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6D3C0B" id="_x0000_t202" coordsize="21600,21600" o:spt="202" path="m,l,21600r21600,l21600,xe">
                <v:stroke joinstyle="miter"/>
                <v:path gradientshapeok="t" o:connecttype="rect"/>
              </v:shapetype>
              <v:shape id="Text Box 2" o:spid="_x0000_s1026" type="#_x0000_t202" style="position:absolute;margin-left:-31pt;margin-top:-681pt;width:510.25pt;height:5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" filled="f" stroked="f" strokeweight=".5pt">
                <v:textbox>
                  <w:txbxContent>
                    <w:p w14:paraId="17D64AB4" w14:textId="77777777" w:rsidR="00E37FFC" w:rsidRDefault="00E37FFC" w:rsidP="00E37FFC">
                      <w:pPr>
                        <w:jc w:val="center"/>
                      </w:pPr>
                      <w:r>
                        <w:t>SCALE OF LANDLORD FEES</w:t>
                      </w:r>
                    </w:p>
                    <w:tbl>
                      <w:tblPr>
                        <w:tblStyle w:val="TableGrid"/>
                        <w:tblW w:w="0" w:type="auto"/>
                        <w:jc w:val="center"/>
                        <w:tblLook w:val="04A0" w:firstRow="1" w:lastRow="0" w:firstColumn="1" w:lastColumn="0" w:noHBand="0" w:noVBand="1"/>
                      </w:tblPr>
                      <w:tblGrid>
                        <w:gridCol w:w="704"/>
                        <w:gridCol w:w="3544"/>
                        <w:gridCol w:w="4768"/>
                      </w:tblGrid>
                      <w:tr w:rsidR="00E37FFC" w14:paraId="02A82AA4" w14:textId="77777777" w:rsidTr="00E37FFC">
                        <w:trPr>
                          <w:jc w:val="center"/>
                        </w:trPr>
                        <w:tc>
                          <w:tcPr>
                            <w:tcW w:w="704" w:type="dxa"/>
                          </w:tcPr>
                          <w:p w14:paraId="12FC9C6E" w14:textId="77777777" w:rsidR="00E37FFC" w:rsidRDefault="00E37FFC" w:rsidP="00E37FFC">
                            <w:pPr>
                              <w:jc w:val="center"/>
                            </w:pPr>
                            <w:r>
                              <w:t>1.1</w:t>
                            </w:r>
                          </w:p>
                        </w:tc>
                        <w:tc>
                          <w:tcPr>
                            <w:tcW w:w="3544" w:type="dxa"/>
                          </w:tcPr>
                          <w:p w14:paraId="0009F4EB" w14:textId="77777777" w:rsidR="00E37FFC" w:rsidRDefault="00E37FFC" w:rsidP="00E37FFC">
                            <w:r>
                              <w:t>Marketing &amp; Let Only Service</w:t>
                            </w:r>
                          </w:p>
                        </w:tc>
                        <w:tc>
                          <w:tcPr>
                            <w:tcW w:w="4768" w:type="dxa"/>
                          </w:tcPr>
                          <w:p w14:paraId="19057D64" w14:textId="77777777" w:rsidR="00E37FFC" w:rsidRDefault="00E37FFC" w:rsidP="00E37FFC">
                            <w:r>
                              <w:t>1 Month’s Rent (Inc. VAT)</w:t>
                            </w:r>
                          </w:p>
                        </w:tc>
                      </w:tr>
                      <w:tr w:rsidR="00E37FFC" w14:paraId="6459DFF4" w14:textId="77777777" w:rsidTr="00E37FFC">
                        <w:trPr>
                          <w:jc w:val="center"/>
                        </w:trPr>
                        <w:tc>
                          <w:tcPr>
                            <w:tcW w:w="704" w:type="dxa"/>
                          </w:tcPr>
                          <w:p w14:paraId="08789763" w14:textId="77777777" w:rsidR="00E37FFC" w:rsidRDefault="00E37FFC" w:rsidP="00E37FFC">
                            <w:pPr>
                              <w:jc w:val="center"/>
                            </w:pPr>
                            <w:r>
                              <w:t>1.2</w:t>
                            </w:r>
                          </w:p>
                        </w:tc>
                        <w:tc>
                          <w:tcPr>
                            <w:tcW w:w="3544" w:type="dxa"/>
                          </w:tcPr>
                          <w:p w14:paraId="15546F08" w14:textId="77777777" w:rsidR="00E37FFC" w:rsidRDefault="00E37FFC" w:rsidP="00E37FFC">
                            <w:r>
                              <w:t>Rent Collection Service</w:t>
                            </w:r>
                          </w:p>
                        </w:tc>
                        <w:tc>
                          <w:tcPr>
                            <w:tcW w:w="4768" w:type="dxa"/>
                          </w:tcPr>
                          <w:p w14:paraId="63343172" w14:textId="799B2D39" w:rsidR="00E37FFC" w:rsidRDefault="00E37FFC" w:rsidP="00E37FFC">
                            <w:r>
                              <w:t>2 Week’s Rent (Inc. VAT) +</w:t>
                            </w:r>
                            <w:r w:rsidR="00AD6769">
                              <w:t>9</w:t>
                            </w:r>
                            <w:r>
                              <w:t>% (</w:t>
                            </w:r>
                            <w:r w:rsidR="00AD6769">
                              <w:t>Inc.</w:t>
                            </w:r>
                            <w:r>
                              <w:t xml:space="preserve"> VAT)</w:t>
                            </w:r>
                          </w:p>
                        </w:tc>
                      </w:tr>
                      <w:tr w:rsidR="00E37FFC" w14:paraId="7DAFDDFC" w14:textId="77777777" w:rsidTr="00E37FFC">
                        <w:trPr>
                          <w:jc w:val="center"/>
                        </w:trPr>
                        <w:tc>
                          <w:tcPr>
                            <w:tcW w:w="704" w:type="dxa"/>
                          </w:tcPr>
                          <w:p w14:paraId="66F18D9F" w14:textId="77777777" w:rsidR="00E37FFC" w:rsidRDefault="00E37FFC" w:rsidP="00E37FFC">
                            <w:pPr>
                              <w:jc w:val="center"/>
                            </w:pPr>
                            <w:r>
                              <w:t>1.3</w:t>
                            </w:r>
                          </w:p>
                        </w:tc>
                        <w:tc>
                          <w:tcPr>
                            <w:tcW w:w="3544" w:type="dxa"/>
                          </w:tcPr>
                          <w:p w14:paraId="5BD301E0" w14:textId="77777777" w:rsidR="00E37FFC" w:rsidRDefault="00E37FFC" w:rsidP="00E37FFC">
                            <w:r>
                              <w:t>Full Management Service</w:t>
                            </w:r>
                          </w:p>
                        </w:tc>
                        <w:tc>
                          <w:tcPr>
                            <w:tcW w:w="4768" w:type="dxa"/>
                          </w:tcPr>
                          <w:p w14:paraId="48FBC48B" w14:textId="4360451F" w:rsidR="00E37FFC" w:rsidRDefault="00E37FFC" w:rsidP="00E37FFC">
                            <w:r>
                              <w:t>2 Week’s Rent (Inc. VAT) +1</w:t>
                            </w:r>
                            <w:r w:rsidR="00AD6769">
                              <w:t>2</w:t>
                            </w:r>
                            <w:r>
                              <w:t>% (</w:t>
                            </w:r>
                            <w:r w:rsidR="00AD6769">
                              <w:t>Inc.</w:t>
                            </w:r>
                            <w:r>
                              <w:t xml:space="preserve"> VAT)</w:t>
                            </w:r>
                          </w:p>
                        </w:tc>
                      </w:tr>
                    </w:tbl>
                    <w:p w14:paraId="5EE4166A" w14:textId="77777777" w:rsidR="00E37FFC" w:rsidRDefault="00E37FFC" w:rsidP="00E37FFC">
                      <w:pPr>
                        <w:jc w:val="center"/>
                      </w:pPr>
                    </w:p>
                    <w:p w14:paraId="6F3CC2BC" w14:textId="77777777" w:rsidR="00E37FFC" w:rsidRDefault="00E37FFC" w:rsidP="00E37FFC"/>
                    <w:p w14:paraId="0907AB86" w14:textId="77777777" w:rsidR="00E37FFC" w:rsidRDefault="00E37FFC" w:rsidP="00E37FFC">
                      <w:pPr>
                        <w:jc w:val="center"/>
                      </w:pPr>
                      <w:r>
                        <w:t>MANDATORY REQUIREMENTS AND ASSOCIATED COSTS</w:t>
                      </w:r>
                    </w:p>
                    <w:tbl>
                      <w:tblPr>
                        <w:tblStyle w:val="TableGrid"/>
                        <w:tblW w:w="9052" w:type="dxa"/>
                        <w:jc w:val="center"/>
                        <w:tblLook w:val="04A0" w:firstRow="1" w:lastRow="0" w:firstColumn="1" w:lastColumn="0" w:noHBand="0" w:noVBand="1"/>
                      </w:tblPr>
                      <w:tblGrid>
                        <w:gridCol w:w="4526"/>
                        <w:gridCol w:w="4526"/>
                      </w:tblGrid>
                      <w:tr w:rsidR="00E37FFC" w14:paraId="726D4D77" w14:textId="77777777" w:rsidTr="00E37FFC">
                        <w:trPr>
                          <w:trHeight w:val="257"/>
                          <w:jc w:val="center"/>
                        </w:trPr>
                        <w:tc>
                          <w:tcPr>
                            <w:tcW w:w="4526" w:type="dxa"/>
                          </w:tcPr>
                          <w:p w14:paraId="064BE5A9" w14:textId="77777777" w:rsidR="00E37FFC" w:rsidRDefault="00E37FFC" w:rsidP="00E37FFC">
                            <w:r>
                              <w:t>EPC</w:t>
                            </w:r>
                          </w:p>
                        </w:tc>
                        <w:tc>
                          <w:tcPr>
                            <w:tcW w:w="4526" w:type="dxa"/>
                          </w:tcPr>
                          <w:p w14:paraId="28B63DCB" w14:textId="77777777" w:rsidR="00E37FFC" w:rsidRDefault="00E37FFC" w:rsidP="00E37FFC">
                            <w:r>
                              <w:t>£60.00</w:t>
                            </w:r>
                          </w:p>
                        </w:tc>
                      </w:tr>
                      <w:tr w:rsidR="00E37FFC" w14:paraId="0C951AE9" w14:textId="77777777" w:rsidTr="00E37FFC">
                        <w:trPr>
                          <w:trHeight w:val="257"/>
                          <w:jc w:val="center"/>
                        </w:trPr>
                        <w:tc>
                          <w:tcPr>
                            <w:tcW w:w="4526" w:type="dxa"/>
                          </w:tcPr>
                          <w:p w14:paraId="6641BB53" w14:textId="77777777" w:rsidR="00E37FFC" w:rsidRDefault="00E37FFC" w:rsidP="00E37FFC">
                            <w:r>
                              <w:t>Gas Safety Certificate</w:t>
                            </w:r>
                          </w:p>
                        </w:tc>
                        <w:tc>
                          <w:tcPr>
                            <w:tcW w:w="4526" w:type="dxa"/>
                          </w:tcPr>
                          <w:p w14:paraId="02BC4AFA" w14:textId="77777777" w:rsidR="00E37FFC" w:rsidRDefault="00E37FFC" w:rsidP="00E37FFC">
                            <w:r>
                              <w:t>£60.00</w:t>
                            </w:r>
                          </w:p>
                        </w:tc>
                      </w:tr>
                      <w:tr w:rsidR="00E37FFC" w14:paraId="3FE90CE9" w14:textId="77777777" w:rsidTr="00E37FFC">
                        <w:trPr>
                          <w:trHeight w:val="257"/>
                          <w:jc w:val="center"/>
                        </w:trPr>
                        <w:tc>
                          <w:tcPr>
                            <w:tcW w:w="4526" w:type="dxa"/>
                          </w:tcPr>
                          <w:p w14:paraId="4F361810" w14:textId="77777777" w:rsidR="00E37FFC" w:rsidRDefault="00E37FFC" w:rsidP="00E37FFC">
                            <w:r>
                              <w:t xml:space="preserve">Local Authority Selective Licence </w:t>
                            </w:r>
                          </w:p>
                        </w:tc>
                        <w:tc>
                          <w:tcPr>
                            <w:tcW w:w="4526" w:type="dxa"/>
                          </w:tcPr>
                          <w:p w14:paraId="69461037" w14:textId="77777777" w:rsidR="00E37FFC" w:rsidRDefault="00E37FFC" w:rsidP="00E37FFC">
                            <w:r>
                              <w:t>Cost specific to local authority</w:t>
                            </w:r>
                          </w:p>
                        </w:tc>
                      </w:tr>
                      <w:tr w:rsidR="00E37FFC" w14:paraId="557AE712" w14:textId="77777777" w:rsidTr="00E37FFC">
                        <w:trPr>
                          <w:trHeight w:val="248"/>
                          <w:jc w:val="center"/>
                        </w:trPr>
                        <w:tc>
                          <w:tcPr>
                            <w:tcW w:w="4526" w:type="dxa"/>
                          </w:tcPr>
                          <w:p w14:paraId="6AA114F1" w14:textId="77777777" w:rsidR="00E37FFC" w:rsidRDefault="00E37FFC" w:rsidP="00E37FFC">
                            <w:r>
                              <w:t>EICR Report</w:t>
                            </w:r>
                          </w:p>
                        </w:tc>
                        <w:tc>
                          <w:tcPr>
                            <w:tcW w:w="4526" w:type="dxa"/>
                          </w:tcPr>
                          <w:p w14:paraId="40AD5AA3" w14:textId="77777777" w:rsidR="00E37FFC" w:rsidRDefault="00E37FFC" w:rsidP="00E37FFC">
                            <w:r>
                              <w:t>£150.00</w:t>
                            </w:r>
                          </w:p>
                        </w:tc>
                      </w:tr>
                      <w:tr w:rsidR="00E37FFC" w14:paraId="6B25D835" w14:textId="77777777" w:rsidTr="00E37FFC">
                        <w:trPr>
                          <w:trHeight w:val="248"/>
                          <w:jc w:val="center"/>
                        </w:trPr>
                        <w:tc>
                          <w:tcPr>
                            <w:tcW w:w="4526" w:type="dxa"/>
                          </w:tcPr>
                          <w:p w14:paraId="66FF7ECB" w14:textId="77777777" w:rsidR="00E37FFC" w:rsidRDefault="00E37FFC" w:rsidP="00E37FFC">
                            <w:r>
                              <w:t>Smoke Detectors</w:t>
                            </w:r>
                          </w:p>
                        </w:tc>
                        <w:tc>
                          <w:tcPr>
                            <w:tcW w:w="4526" w:type="dxa"/>
                          </w:tcPr>
                          <w:p w14:paraId="72B0291B" w14:textId="3138BEA4" w:rsidR="00E37FFC" w:rsidRDefault="00E37FFC" w:rsidP="00E37FFC">
                            <w:r>
                              <w:t>One per floor - £</w:t>
                            </w:r>
                            <w:r w:rsidR="00AD6769">
                              <w:t>72</w:t>
                            </w:r>
                            <w:r>
                              <w:t xml:space="preserve">.00 </w:t>
                            </w:r>
                            <w:r w:rsidR="00AD6769">
                              <w:t xml:space="preserve">Inc. </w:t>
                            </w:r>
                            <w:r>
                              <w:t>VAT</w:t>
                            </w:r>
                          </w:p>
                        </w:tc>
                      </w:tr>
                      <w:tr w:rsidR="00E37FFC" w14:paraId="1805756B" w14:textId="77777777" w:rsidTr="00E37FFC">
                        <w:trPr>
                          <w:trHeight w:val="248"/>
                          <w:jc w:val="center"/>
                        </w:trPr>
                        <w:tc>
                          <w:tcPr>
                            <w:tcW w:w="4526" w:type="dxa"/>
                          </w:tcPr>
                          <w:p w14:paraId="25E45C92" w14:textId="77777777" w:rsidR="00E37FFC" w:rsidRDefault="00E37FFC" w:rsidP="00E37FFC">
                            <w:r>
                              <w:t>Carbon Monoxide Detectors</w:t>
                            </w:r>
                          </w:p>
                        </w:tc>
                        <w:tc>
                          <w:tcPr>
                            <w:tcW w:w="4526" w:type="dxa"/>
                          </w:tcPr>
                          <w:p w14:paraId="44C0157F" w14:textId="25C82991" w:rsidR="00E37FFC" w:rsidRDefault="00E37FFC" w:rsidP="00E37FFC">
                            <w:r>
                              <w:t>£</w:t>
                            </w:r>
                            <w:r w:rsidR="00AD6769">
                              <w:t>5</w:t>
                            </w:r>
                            <w:r>
                              <w:t xml:space="preserve">0.00 </w:t>
                            </w:r>
                            <w:r w:rsidR="00AD6769">
                              <w:t xml:space="preserve">Inc. </w:t>
                            </w:r>
                            <w:r>
                              <w:t>VAT</w:t>
                            </w:r>
                          </w:p>
                        </w:tc>
                      </w:tr>
                      <w:tr w:rsidR="00E37FFC" w14:paraId="73B565C8" w14:textId="77777777" w:rsidTr="00E37FFC">
                        <w:trPr>
                          <w:trHeight w:val="248"/>
                          <w:jc w:val="center"/>
                        </w:trPr>
                        <w:tc>
                          <w:tcPr>
                            <w:tcW w:w="4526" w:type="dxa"/>
                          </w:tcPr>
                          <w:p w14:paraId="247639E7" w14:textId="77777777" w:rsidR="00E37FFC" w:rsidRDefault="00E37FFC" w:rsidP="00E37FFC">
                            <w:r>
                              <w:t>Tenant/Guarantor Reference Charge</w:t>
                            </w:r>
                          </w:p>
                        </w:tc>
                        <w:tc>
                          <w:tcPr>
                            <w:tcW w:w="4526" w:type="dxa"/>
                          </w:tcPr>
                          <w:p w14:paraId="669816F3" w14:textId="256B8C49" w:rsidR="00E37FFC" w:rsidRDefault="00E37FFC" w:rsidP="00E37FFC">
                            <w:r>
                              <w:t>£</w:t>
                            </w:r>
                            <w:r w:rsidR="00AD6769">
                              <w:t>20</w:t>
                            </w:r>
                            <w:r>
                              <w:t xml:space="preserve">.00 </w:t>
                            </w:r>
                            <w:r w:rsidR="00AD6769">
                              <w:t xml:space="preserve">Inc. </w:t>
                            </w:r>
                            <w:r>
                              <w:t>VAT Per Reference</w:t>
                            </w:r>
                          </w:p>
                        </w:tc>
                      </w:tr>
                    </w:tbl>
                    <w:p w14:paraId="110E8D04" w14:textId="77777777" w:rsidR="00E37FFC" w:rsidRDefault="00E37FFC" w:rsidP="00E37FFC"/>
                    <w:p w14:paraId="76448088" w14:textId="77777777" w:rsidR="00E37FFC" w:rsidRDefault="00E37FFC" w:rsidP="00E37FFC">
                      <w:pPr>
                        <w:rPr>
                          <w:sz w:val="18"/>
                          <w:szCs w:val="18"/>
                        </w:rPr>
                      </w:pPr>
                      <w:r w:rsidRPr="00F922EE">
                        <w:rPr>
                          <w:sz w:val="18"/>
                          <w:szCs w:val="18"/>
                        </w:rPr>
                        <w:t>The fees under the above services are payable when any individual or organisation enters into an agreement to rent the Property as a result of our promotion, introduction, or viewing by the Agent.</w:t>
                      </w:r>
                    </w:p>
                    <w:p w14:paraId="3D03D672" w14:textId="77777777" w:rsidR="00E37FFC" w:rsidRDefault="00E37FFC" w:rsidP="00E37FFC">
                      <w:pPr>
                        <w:rPr>
                          <w:sz w:val="18"/>
                          <w:szCs w:val="18"/>
                        </w:rPr>
                      </w:pPr>
                    </w:p>
                    <w:p w14:paraId="5746A2C3" w14:textId="77777777" w:rsidR="00E37FFC" w:rsidRDefault="00E37FFC" w:rsidP="00E37FFC">
                      <w:pPr>
                        <w:jc w:val="center"/>
                      </w:pPr>
                      <w:r>
                        <w:t>ADDITIONAL CHARGES (AS AND WHEN THEY ARISE)</w:t>
                      </w:r>
                    </w:p>
                    <w:tbl>
                      <w:tblPr>
                        <w:tblStyle w:val="TableGrid"/>
                        <w:tblW w:w="0" w:type="auto"/>
                        <w:jc w:val="center"/>
                        <w:tblLook w:val="04A0" w:firstRow="1" w:lastRow="0" w:firstColumn="1" w:lastColumn="0" w:noHBand="0" w:noVBand="1"/>
                      </w:tblPr>
                      <w:tblGrid>
                        <w:gridCol w:w="4508"/>
                        <w:gridCol w:w="4508"/>
                      </w:tblGrid>
                      <w:tr w:rsidR="00E37FFC" w14:paraId="4CC0897B" w14:textId="77777777" w:rsidTr="00E37FFC">
                        <w:trPr>
                          <w:jc w:val="center"/>
                        </w:trPr>
                        <w:tc>
                          <w:tcPr>
                            <w:tcW w:w="4508" w:type="dxa"/>
                          </w:tcPr>
                          <w:p w14:paraId="4BDEFA64" w14:textId="77777777" w:rsidR="00E37FFC" w:rsidRDefault="00E37FFC" w:rsidP="00E37FFC">
                            <w:r>
                              <w:t>Tenancy Renewal Fee (To apply to ALL new tenancies. Also applies to renewed tenancies on services 1.1 and 1.2)</w:t>
                            </w:r>
                          </w:p>
                        </w:tc>
                        <w:tc>
                          <w:tcPr>
                            <w:tcW w:w="4508" w:type="dxa"/>
                          </w:tcPr>
                          <w:p w14:paraId="4438A937" w14:textId="77777777" w:rsidR="00E37FFC" w:rsidRDefault="00E37FFC" w:rsidP="00E37FFC">
                            <w:r>
                              <w:t>£75.00 (Inc. VAT)</w:t>
                            </w:r>
                          </w:p>
                        </w:tc>
                      </w:tr>
                      <w:tr w:rsidR="00E37FFC" w14:paraId="1DEAADF9" w14:textId="77777777" w:rsidTr="00E37FFC">
                        <w:trPr>
                          <w:jc w:val="center"/>
                        </w:trPr>
                        <w:tc>
                          <w:tcPr>
                            <w:tcW w:w="4508" w:type="dxa"/>
                          </w:tcPr>
                          <w:p w14:paraId="1167201C" w14:textId="77777777" w:rsidR="00E37FFC" w:rsidRDefault="00E37FFC" w:rsidP="00E37FFC">
                            <w:r>
                              <w:t>Deposit Registration</w:t>
                            </w:r>
                          </w:p>
                        </w:tc>
                        <w:tc>
                          <w:tcPr>
                            <w:tcW w:w="4508" w:type="dxa"/>
                          </w:tcPr>
                          <w:p w14:paraId="3C477F47" w14:textId="77777777" w:rsidR="00E37FFC" w:rsidRDefault="00E37FFC" w:rsidP="00E37FFC">
                            <w:r>
                              <w:t>£0.00</w:t>
                            </w:r>
                          </w:p>
                        </w:tc>
                      </w:tr>
                      <w:tr w:rsidR="00E37FFC" w14:paraId="01D6B2DC" w14:textId="77777777" w:rsidTr="00E37FFC">
                        <w:trPr>
                          <w:jc w:val="center"/>
                        </w:trPr>
                        <w:tc>
                          <w:tcPr>
                            <w:tcW w:w="4508" w:type="dxa"/>
                          </w:tcPr>
                          <w:p w14:paraId="4F20E181" w14:textId="77777777" w:rsidR="00E37FFC" w:rsidRDefault="00E37FFC" w:rsidP="00E37FFC">
                            <w:r>
                              <w:t>Inventory Check in/out service</w:t>
                            </w:r>
                          </w:p>
                        </w:tc>
                        <w:tc>
                          <w:tcPr>
                            <w:tcW w:w="4508" w:type="dxa"/>
                          </w:tcPr>
                          <w:p w14:paraId="3B77E69C" w14:textId="77777777" w:rsidR="00E37FFC" w:rsidRDefault="00E37FFC" w:rsidP="00E37FFC">
                            <w:r>
                              <w:t>Upon quote</w:t>
                            </w:r>
                          </w:p>
                        </w:tc>
                      </w:tr>
                      <w:tr w:rsidR="00E37FFC" w14:paraId="5AD80A90" w14:textId="77777777" w:rsidTr="00E37FFC">
                        <w:trPr>
                          <w:jc w:val="center"/>
                        </w:trPr>
                        <w:tc>
                          <w:tcPr>
                            <w:tcW w:w="4508" w:type="dxa"/>
                          </w:tcPr>
                          <w:p w14:paraId="249860A4" w14:textId="77777777" w:rsidR="00E37FFC" w:rsidRDefault="00E37FFC" w:rsidP="00E37FFC">
                            <w:r>
                              <w:t>Professional Hourly Rate</w:t>
                            </w:r>
                          </w:p>
                        </w:tc>
                        <w:tc>
                          <w:tcPr>
                            <w:tcW w:w="4508" w:type="dxa"/>
                          </w:tcPr>
                          <w:p w14:paraId="04C02855" w14:textId="77777777" w:rsidR="00E37FFC" w:rsidRDefault="00E37FFC" w:rsidP="00E37FFC">
                            <w:r>
                              <w:t>£65.00 (Inc. VAT)</w:t>
                            </w:r>
                          </w:p>
                        </w:tc>
                      </w:tr>
                      <w:tr w:rsidR="00E37FFC" w14:paraId="6EDD4EA6" w14:textId="77777777" w:rsidTr="00E37FFC">
                        <w:trPr>
                          <w:jc w:val="center"/>
                        </w:trPr>
                        <w:tc>
                          <w:tcPr>
                            <w:tcW w:w="4508" w:type="dxa"/>
                          </w:tcPr>
                          <w:p w14:paraId="2D1A0D4E" w14:textId="77777777" w:rsidR="00E37FFC" w:rsidRDefault="00E37FFC" w:rsidP="00E37FFC">
                            <w:r>
                              <w:t>Duplicate Statement</w:t>
                            </w:r>
                          </w:p>
                        </w:tc>
                        <w:tc>
                          <w:tcPr>
                            <w:tcW w:w="4508" w:type="dxa"/>
                          </w:tcPr>
                          <w:p w14:paraId="5B7D3EC1" w14:textId="77777777" w:rsidR="00E37FFC" w:rsidRDefault="00E37FFC" w:rsidP="00E37FFC">
                            <w:r>
                              <w:t>£0.00</w:t>
                            </w:r>
                          </w:p>
                        </w:tc>
                      </w:tr>
                      <w:tr w:rsidR="00E37FFC" w14:paraId="64B35E68" w14:textId="77777777" w:rsidTr="00E37FFC">
                        <w:trPr>
                          <w:jc w:val="center"/>
                        </w:trPr>
                        <w:tc>
                          <w:tcPr>
                            <w:tcW w:w="4508" w:type="dxa"/>
                          </w:tcPr>
                          <w:p w14:paraId="3B1F1CA8" w14:textId="77777777" w:rsidR="00E37FFC" w:rsidRDefault="00E37FFC" w:rsidP="00E37FFC">
                            <w:r>
                              <w:t>Legionella Risk Assessment</w:t>
                            </w:r>
                          </w:p>
                        </w:tc>
                        <w:tc>
                          <w:tcPr>
                            <w:tcW w:w="4508" w:type="dxa"/>
                          </w:tcPr>
                          <w:p w14:paraId="339B37AB" w14:textId="77777777" w:rsidR="00E37FFC" w:rsidRDefault="00E37FFC" w:rsidP="00E37FFC">
                            <w:r>
                              <w:t>Upon quote</w:t>
                            </w:r>
                          </w:p>
                        </w:tc>
                      </w:tr>
                      <w:tr w:rsidR="00E37FFC" w14:paraId="0F166760" w14:textId="77777777" w:rsidTr="00E37FFC">
                        <w:trPr>
                          <w:jc w:val="center"/>
                        </w:trPr>
                        <w:tc>
                          <w:tcPr>
                            <w:tcW w:w="4508" w:type="dxa"/>
                          </w:tcPr>
                          <w:p w14:paraId="503999F7" w14:textId="77777777" w:rsidR="00E37FFC" w:rsidRDefault="00E37FFC" w:rsidP="00E37FFC">
                            <w:r>
                              <w:t>Legal Notices</w:t>
                            </w:r>
                          </w:p>
                        </w:tc>
                        <w:tc>
                          <w:tcPr>
                            <w:tcW w:w="4508" w:type="dxa"/>
                          </w:tcPr>
                          <w:p w14:paraId="4CD47EEF" w14:textId="77777777" w:rsidR="00E37FFC" w:rsidRDefault="00E37FFC" w:rsidP="00E37FFC">
                            <w:r>
                              <w:t>Free with Management</w:t>
                            </w:r>
                          </w:p>
                        </w:tc>
                      </w:tr>
                      <w:tr w:rsidR="00E37FFC" w14:paraId="64C965C7" w14:textId="77777777" w:rsidTr="00E37FFC">
                        <w:trPr>
                          <w:jc w:val="center"/>
                        </w:trPr>
                        <w:tc>
                          <w:tcPr>
                            <w:tcW w:w="4508" w:type="dxa"/>
                          </w:tcPr>
                          <w:p w14:paraId="69888B77" w14:textId="77777777" w:rsidR="00E37FFC" w:rsidRDefault="00E37FFC" w:rsidP="00E37FFC">
                            <w:r>
                              <w:t>Rent Guarantee Insurance</w:t>
                            </w:r>
                          </w:p>
                        </w:tc>
                        <w:tc>
                          <w:tcPr>
                            <w:tcW w:w="4508" w:type="dxa"/>
                          </w:tcPr>
                          <w:p w14:paraId="365B39E9" w14:textId="2C1FA4BA" w:rsidR="00E37FFC" w:rsidRDefault="00E37FFC" w:rsidP="00E37FFC">
                            <w:r>
                              <w:t>From £</w:t>
                            </w:r>
                            <w:r w:rsidR="002B438A">
                              <w:t>20</w:t>
                            </w:r>
                            <w:r>
                              <w:t xml:space="preserve">0.00 (Inc. </w:t>
                            </w:r>
                            <w:r w:rsidR="002B438A">
                              <w:t>IPT</w:t>
                            </w:r>
                            <w:r>
                              <w:t>)</w:t>
                            </w:r>
                          </w:p>
                        </w:tc>
                      </w:tr>
                      <w:tr w:rsidR="00E37FFC" w14:paraId="42D315B2" w14:textId="77777777" w:rsidTr="00E37FFC">
                        <w:trPr>
                          <w:jc w:val="center"/>
                        </w:trPr>
                        <w:tc>
                          <w:tcPr>
                            <w:tcW w:w="4508" w:type="dxa"/>
                          </w:tcPr>
                          <w:p w14:paraId="1D525DBC" w14:textId="77777777" w:rsidR="00E37FFC" w:rsidRDefault="00E37FFC" w:rsidP="00E37FFC">
                            <w:r>
                              <w:t>Sale Of Property To Tenant</w:t>
                            </w:r>
                          </w:p>
                        </w:tc>
                        <w:tc>
                          <w:tcPr>
                            <w:tcW w:w="4508" w:type="dxa"/>
                          </w:tcPr>
                          <w:p w14:paraId="7BE2B1FC" w14:textId="77777777" w:rsidR="00E37FFC" w:rsidRDefault="00E37FFC" w:rsidP="00E37FFC">
                            <w:r>
                              <w:t>1% (Inc. VAT)</w:t>
                            </w:r>
                          </w:p>
                        </w:tc>
                      </w:tr>
                    </w:tbl>
                    <w:p w14:paraId="36F41EF6" w14:textId="77777777" w:rsidR="00E37FFC" w:rsidRDefault="00E37FFC" w:rsidP="00E37FFC"/>
                    <w:p w14:paraId="4E54A047" w14:textId="77777777" w:rsidR="00E37FFC" w:rsidRDefault="00E37FFC" w:rsidP="00E37FFC">
                      <w:pPr>
                        <w:rPr>
                          <w:sz w:val="18"/>
                          <w:szCs w:val="18"/>
                        </w:rPr>
                      </w:pPr>
                      <w:r w:rsidRPr="006E028D">
                        <w:rPr>
                          <w:sz w:val="18"/>
                          <w:szCs w:val="18"/>
                        </w:rPr>
                        <w:t>We may receive commissions from: Contractors, Insurance Companies, Referencing Companies, Utility Providers.</w:t>
                      </w:r>
                    </w:p>
                    <w:p w14:paraId="1F95A6A0" w14:textId="77777777" w:rsidR="00E37FFC" w:rsidRDefault="00E37FFC" w:rsidP="00E37FFC">
                      <w:pPr>
                        <w:rPr>
                          <w:sz w:val="18"/>
                          <w:szCs w:val="18"/>
                        </w:rPr>
                      </w:pPr>
                    </w:p>
                    <w:p w14:paraId="4B261201" w14:textId="77777777" w:rsidR="00E37FFC" w:rsidRDefault="00E37FFC" w:rsidP="00E37FFC">
                      <w:r>
                        <w:t>CONTRACT CANCELLATION FEE (During a tenancy)</w:t>
                      </w:r>
                    </w:p>
                    <w:p w14:paraId="0E8D8DF4" w14:textId="77777777" w:rsidR="00E37FFC" w:rsidRPr="006E028D" w:rsidRDefault="00E37FFC" w:rsidP="00E37FFC">
                      <w:pPr>
                        <w:rPr>
                          <w:sz w:val="18"/>
                          <w:szCs w:val="18"/>
                        </w:rPr>
                      </w:pPr>
                      <w:r>
                        <w:rPr>
                          <w:sz w:val="18"/>
                          <w:szCs w:val="18"/>
                        </w:rPr>
                        <w:t>Where the Landlord cancels the Agent’s instruction to provide a Let and Rent Collection or Full Management service, the Agent will charge and the Landlord will pay the minimum fee that would be payable for the Let Only Service plus any other costs incurred, including a reasonable fee for the time management that has been provided.</w:t>
                      </w:r>
                    </w:p>
                    <w:p w14:paraId="42A49D46" w14:textId="77777777" w:rsidR="00C02A02" w:rsidRPr="00446310" w:rsidRDefault="00C02A02" w:rsidP="00C02A02">
                      <w:pPr>
                        <w:ind w:left="-142"/>
                        <w:rPr>
                          <w:rFonts w:ascii="Heebo Light" w:hAnsi="Heebo Light"/>
                          <w:sz w:val="22"/>
                        </w:rPr>
                      </w:pPr>
                    </w:p>
                  </w:txbxContent>
                </v:textbox>
              </v:shape>
            </w:pict>
          </mc:Fallback>
        </mc:AlternateContent>
      </w:r>
    </w:p>
    <w:sectPr w:rsidR="00EB770C" w:rsidSect="00C02A02">
      <w:headerReference w:type="default" r:id="rId6"/>
      <w:pgSz w:w="11900" w:h="1682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4A5F" w14:textId="77777777" w:rsidR="00C647B4" w:rsidRDefault="00C647B4" w:rsidP="00C02A02">
      <w:r>
        <w:separator/>
      </w:r>
    </w:p>
  </w:endnote>
  <w:endnote w:type="continuationSeparator" w:id="0">
    <w:p w14:paraId="5555FB93" w14:textId="77777777" w:rsidR="00C647B4" w:rsidRDefault="00C647B4" w:rsidP="00C0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ebo Light">
    <w:charset w:val="B1"/>
    <w:family w:val="auto"/>
    <w:pitch w:val="variable"/>
    <w:sig w:usb0="A00008E7" w:usb1="40000043"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AD4B" w14:textId="77777777" w:rsidR="00C647B4" w:rsidRDefault="00C647B4" w:rsidP="00C02A02">
      <w:r>
        <w:separator/>
      </w:r>
    </w:p>
  </w:footnote>
  <w:footnote w:type="continuationSeparator" w:id="0">
    <w:p w14:paraId="601FABDE" w14:textId="77777777" w:rsidR="00C647B4" w:rsidRDefault="00C647B4" w:rsidP="00C0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F0AF" w14:textId="77777777" w:rsidR="00C02A02" w:rsidRDefault="00C02A02" w:rsidP="00C02A02">
    <w:pPr>
      <w:pStyle w:val="Header"/>
      <w:ind w:left="-1440" w:firstLine="22"/>
    </w:pPr>
    <w:r>
      <w:rPr>
        <w:noProof/>
        <w:lang w:eastAsia="en-GB"/>
      </w:rPr>
      <w:drawing>
        <wp:inline distT="0" distB="0" distL="0" distR="0" wp14:anchorId="724451EE" wp14:editId="4207FB91">
          <wp:extent cx="7560000" cy="10692000"/>
          <wp:effectExtent l="0" t="0" r="0" b="190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etterhead C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02"/>
    <w:rsid w:val="00032FBE"/>
    <w:rsid w:val="00115214"/>
    <w:rsid w:val="00167FD2"/>
    <w:rsid w:val="00247FB7"/>
    <w:rsid w:val="00253CC1"/>
    <w:rsid w:val="002B438A"/>
    <w:rsid w:val="003C22A3"/>
    <w:rsid w:val="003E3971"/>
    <w:rsid w:val="00401D27"/>
    <w:rsid w:val="00411D37"/>
    <w:rsid w:val="00446310"/>
    <w:rsid w:val="00453284"/>
    <w:rsid w:val="006359F3"/>
    <w:rsid w:val="0065357A"/>
    <w:rsid w:val="00672144"/>
    <w:rsid w:val="006A4A13"/>
    <w:rsid w:val="00801D95"/>
    <w:rsid w:val="00857021"/>
    <w:rsid w:val="00AD6769"/>
    <w:rsid w:val="00AE2982"/>
    <w:rsid w:val="00AE2B9F"/>
    <w:rsid w:val="00AE2C3E"/>
    <w:rsid w:val="00C02A02"/>
    <w:rsid w:val="00C24CE4"/>
    <w:rsid w:val="00C647B4"/>
    <w:rsid w:val="00DC0E57"/>
    <w:rsid w:val="00DE2F79"/>
    <w:rsid w:val="00DE3E53"/>
    <w:rsid w:val="00E37FFC"/>
    <w:rsid w:val="00EB770C"/>
    <w:rsid w:val="00ED1CC6"/>
    <w:rsid w:val="00FE2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A15A"/>
  <w15:docId w15:val="{0A951FFD-535E-46F7-8FC7-BF684CBE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C6"/>
    <w:rPr>
      <w:rFonts w:eastAsiaTheme="minorEastAsia"/>
    </w:rPr>
  </w:style>
  <w:style w:type="paragraph" w:styleId="Heading1">
    <w:name w:val="heading 1"/>
    <w:basedOn w:val="Normal"/>
    <w:next w:val="Normal"/>
    <w:link w:val="Heading1Char"/>
    <w:uiPriority w:val="9"/>
    <w:qFormat/>
    <w:rsid w:val="00C02A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A02"/>
    <w:pPr>
      <w:tabs>
        <w:tab w:val="center" w:pos="4680"/>
        <w:tab w:val="right" w:pos="9360"/>
      </w:tabs>
    </w:pPr>
  </w:style>
  <w:style w:type="character" w:customStyle="1" w:styleId="HeaderChar">
    <w:name w:val="Header Char"/>
    <w:basedOn w:val="DefaultParagraphFont"/>
    <w:link w:val="Header"/>
    <w:uiPriority w:val="99"/>
    <w:rsid w:val="00C02A02"/>
    <w:rPr>
      <w:rFonts w:eastAsiaTheme="minorEastAsia"/>
    </w:rPr>
  </w:style>
  <w:style w:type="paragraph" w:styleId="Footer">
    <w:name w:val="footer"/>
    <w:basedOn w:val="Normal"/>
    <w:link w:val="FooterChar"/>
    <w:uiPriority w:val="99"/>
    <w:unhideWhenUsed/>
    <w:rsid w:val="00C02A02"/>
    <w:pPr>
      <w:tabs>
        <w:tab w:val="center" w:pos="4680"/>
        <w:tab w:val="right" w:pos="9360"/>
      </w:tabs>
    </w:pPr>
  </w:style>
  <w:style w:type="character" w:customStyle="1" w:styleId="FooterChar">
    <w:name w:val="Footer Char"/>
    <w:basedOn w:val="DefaultParagraphFont"/>
    <w:link w:val="Footer"/>
    <w:uiPriority w:val="99"/>
    <w:rsid w:val="00C02A02"/>
    <w:rPr>
      <w:rFonts w:eastAsiaTheme="minorEastAsia"/>
    </w:rPr>
  </w:style>
  <w:style w:type="character" w:customStyle="1" w:styleId="Heading1Char">
    <w:name w:val="Heading 1 Char"/>
    <w:basedOn w:val="DefaultParagraphFont"/>
    <w:link w:val="Heading1"/>
    <w:uiPriority w:val="9"/>
    <w:rsid w:val="00C02A02"/>
    <w:rPr>
      <w:rFonts w:asciiTheme="majorHAnsi" w:eastAsiaTheme="majorEastAsia" w:hAnsiTheme="majorHAnsi" w:cstheme="majorBidi"/>
      <w:color w:val="2F5496" w:themeColor="accent1" w:themeShade="BF"/>
      <w:sz w:val="32"/>
      <w:szCs w:val="32"/>
    </w:rPr>
  </w:style>
  <w:style w:type="paragraph" w:customStyle="1" w:styleId="Address">
    <w:name w:val="Address"/>
    <w:basedOn w:val="Normal"/>
    <w:next w:val="Normal"/>
    <w:qFormat/>
    <w:rsid w:val="00C02A02"/>
    <w:pPr>
      <w:spacing w:line="260" w:lineRule="exact"/>
    </w:pPr>
    <w:rPr>
      <w:rFonts w:ascii="Arial" w:eastAsia="MS Mincho" w:hAnsi="Arial" w:cs="Times New Roman"/>
      <w:sz w:val="20"/>
    </w:rPr>
  </w:style>
  <w:style w:type="paragraph" w:styleId="BalloonText">
    <w:name w:val="Balloon Text"/>
    <w:basedOn w:val="Normal"/>
    <w:link w:val="BalloonTextChar"/>
    <w:uiPriority w:val="99"/>
    <w:semiHidden/>
    <w:unhideWhenUsed/>
    <w:rsid w:val="00801D95"/>
    <w:rPr>
      <w:rFonts w:ascii="Tahoma" w:hAnsi="Tahoma" w:cs="Tahoma"/>
      <w:sz w:val="16"/>
      <w:szCs w:val="16"/>
    </w:rPr>
  </w:style>
  <w:style w:type="character" w:customStyle="1" w:styleId="BalloonTextChar">
    <w:name w:val="Balloon Text Char"/>
    <w:basedOn w:val="DefaultParagraphFont"/>
    <w:link w:val="BalloonText"/>
    <w:uiPriority w:val="99"/>
    <w:semiHidden/>
    <w:rsid w:val="00801D95"/>
    <w:rPr>
      <w:rFonts w:ascii="Tahoma" w:eastAsiaTheme="minorEastAsia" w:hAnsi="Tahoma" w:cs="Tahoma"/>
      <w:sz w:val="16"/>
      <w:szCs w:val="16"/>
    </w:rPr>
  </w:style>
  <w:style w:type="table" w:styleId="TableGrid">
    <w:name w:val="Table Grid"/>
    <w:basedOn w:val="TableNormal"/>
    <w:uiPriority w:val="39"/>
    <w:rsid w:val="00E37F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3378</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info@joannewood.co.uk</dc:creator>
  <cp:lastModifiedBy>Taran Bal</cp:lastModifiedBy>
  <cp:revision>4</cp:revision>
  <dcterms:created xsi:type="dcterms:W3CDTF">2022-05-19T05:27:00Z</dcterms:created>
  <dcterms:modified xsi:type="dcterms:W3CDTF">2022-05-21T13:43:00Z</dcterms:modified>
</cp:coreProperties>
</file>